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3" w:rsidRPr="00F6294A" w:rsidRDefault="006A3DE3" w:rsidP="00F6294A">
      <w:pPr>
        <w:rPr>
          <w:rFonts w:asciiTheme="majorHAnsi" w:hAnsiTheme="majorHAnsi" w:cstheme="majorHAnsi"/>
          <w:b/>
          <w:color w:val="002060"/>
          <w:sz w:val="72"/>
          <w:szCs w:val="72"/>
        </w:rPr>
      </w:pPr>
      <w:r w:rsidRPr="00F6294A">
        <w:rPr>
          <w:rFonts w:asciiTheme="majorHAnsi" w:hAnsiTheme="majorHAnsi" w:cstheme="majorHAnsi"/>
          <w:b/>
          <w:color w:val="002060"/>
          <w:sz w:val="72"/>
          <w:szCs w:val="72"/>
        </w:rPr>
        <w:t>Ações de fiscalização em 202</w:t>
      </w:r>
      <w:r w:rsidR="00F6294A">
        <w:rPr>
          <w:rFonts w:asciiTheme="majorHAnsi" w:hAnsiTheme="majorHAnsi" w:cstheme="majorHAnsi"/>
          <w:b/>
          <w:color w:val="002060"/>
          <w:sz w:val="72"/>
          <w:szCs w:val="72"/>
        </w:rPr>
        <w:t>3</w:t>
      </w:r>
    </w:p>
    <w:p w:rsidR="00F521F4" w:rsidRPr="00F521F4" w:rsidRDefault="00F521F4" w:rsidP="00F521F4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t>Cabe ressaltar algumas dificuldades encontradas, no presente ano, na realização das visitas. Em primeiro lugar colocamos em evidência, as ameaças e atos de violência contra as escolas, que colocou em pânico as instituições de todo país, com policiamento na porta e câmeras por todos os cantos. Isso impossibilitou o acesso as Bibliotecas Escolares. Tentamos, por diversos meios buscar a liberação, até judicialmente, mas sem sucesso.</w:t>
      </w:r>
    </w:p>
    <w:p w:rsidR="00F521F4" w:rsidRPr="00F521F4" w:rsidRDefault="00F521F4" w:rsidP="00F521F4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t>Por outro lado, o ciclone extratropical deixou o Sul do país em alerta, considerado potencialmente perigoso e gerador de transtornos como temporais e ventania, causou mortes e estragos em diversas cidades do Rio grande do Sul. A população enfrentou falta de energia elétrica, houve destelhamentos, alagamentos e estradas bloqueadas. Período este, em que não foi possível fiscalizar o que foi proposto para aquele momento.</w:t>
      </w:r>
    </w:p>
    <w:p w:rsidR="00F521F4" w:rsidRDefault="00F521F4" w:rsidP="00F521F4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t>Outro problema, são municípios sem acesso, um contexto de difícil resolução. As dificuldades de deslocamento, causam muitos transtornos para nossa fiscalização, que fica dependente de horários não estabelecidos. A falta de disponibilidade de transporte entre as cidades, que não se integram entre si, também impossibilita muitas vezes a um número maior de visitas. Em certas situações, é inevitável ter que encarar os engarrafamentos, deixando</w:t>
      </w:r>
      <w:r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t>cronograma inviável e, ocasionando muito tempo perdido. Mas, tentamos encontrar formas de contornar esse tempo da melhor maneira possível. Embo</w:t>
      </w:r>
      <w:r w:rsidRPr="005A45B7">
        <w:rPr>
          <w:rFonts w:ascii="DejaVu Sans Condensed" w:hAnsi="DejaVu Sans Condensed" w:cs="DejaVu Sans Condensed"/>
          <w:color w:val="002060"/>
          <w:sz w:val="32"/>
          <w:szCs w:val="32"/>
        </w:rPr>
        <w:t>ra precários, os serviços, precisamos recorrer, a táxis e outros aplicativos para não causar uma redução considerável nas inspeções.</w:t>
      </w:r>
    </w:p>
    <w:p w:rsidR="0081640F" w:rsidRDefault="0081640F" w:rsidP="0081640F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</w:p>
    <w:p w:rsidR="0081640F" w:rsidRDefault="0081640F" w:rsidP="0081640F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t>Apresentamos a seguir uma visão geral dos municípios selecionados para fiscalização, constando a quantidade de estabelecimentos por municípios e o último ano de fiscalização</w:t>
      </w:r>
    </w:p>
    <w:p w:rsidR="0081640F" w:rsidRDefault="0081640F" w:rsidP="0081640F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bookmarkStart w:id="0" w:name="_GoBack"/>
      <w:bookmarkEnd w:id="0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134"/>
        <w:gridCol w:w="1276"/>
        <w:gridCol w:w="1559"/>
        <w:gridCol w:w="1559"/>
        <w:gridCol w:w="1701"/>
        <w:gridCol w:w="851"/>
      </w:tblGrid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Canoas 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349.728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59.519,12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Gravataí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285.564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44.034,18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Sapucaia do Sul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142.508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7F7F7"/>
              </w:rPr>
              <w:t>25.082,24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São Leopoldo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240.378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42.740,23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Guaíba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98.331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65.607,03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Esteio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83.352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41.305,97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Cachoeirinha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132.144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43.649,77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Eldorado do Sul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39.559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49.900,17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Taquara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53.242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27.171,31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Santo Antônio da Patrulha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43.397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33.598,69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Camaquã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62.200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40.843,08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Taquari </w:t>
            </w:r>
          </w:p>
        </w:tc>
        <w:tc>
          <w:tcPr>
            <w:tcW w:w="1134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25.198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40.661,52</w:t>
            </w:r>
          </w:p>
        </w:tc>
        <w:tc>
          <w:tcPr>
            <w:tcW w:w="1559" w:type="dxa"/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Triunfo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27.498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430.464,73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Dois Irmãos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30.709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65.238,03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Estância Velha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47.924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36.564,93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Nova Petrópolis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23.300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44.789,05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Nova Hartz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20.088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36.379,38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Montenegro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64.322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86.949,68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Sapiranga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64.322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86.949,68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São Sebastião do Caí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24.428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34.381,59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D76F12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Charqueadas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35.012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41.649,07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Bom Princípio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13.142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62.757,39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Pelotas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325.685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31.347,60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Rio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191.900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62.392,39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Passo Fundo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206.215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60.905,63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Erechim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105.705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64.103,00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Guaporé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25.268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43.858,55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Três Coroas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24.425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27.813,49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Igrejinha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32.808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50.031,27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Soledade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29.991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45.230,98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Espumoso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15.173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71.380,17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Garibaldi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34.335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83.756,02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Farroupilha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70.286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59.633,50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Bento Gonçalves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123.151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60.918,83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Rolante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21.253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33.884,81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Bagé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117.938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30.846,53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São Gabriel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58.487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43.790,22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Santa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271.735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33.532,26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São Sepé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21.219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56.671,05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Santana do Livramento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84.421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37.330,14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81640F">
            <w:pPr>
              <w:pStyle w:val="PargrafodaList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Alvorada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86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187.315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81640F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15.550,82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0F" w:rsidRPr="0081640F" w:rsidRDefault="0081640F" w:rsidP="001E28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1640F" w:rsidRPr="00761281" w:rsidTr="0081640F">
        <w:trPr>
          <w:trHeight w:val="332"/>
        </w:trPr>
        <w:tc>
          <w:tcPr>
            <w:tcW w:w="2411" w:type="dxa"/>
            <w:gridSpan w:val="2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372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40F" w:rsidRPr="0081640F" w:rsidRDefault="0081640F" w:rsidP="001E2885">
            <w:pPr>
              <w:spacing w:after="0" w:line="360" w:lineRule="auto"/>
              <w:ind w:right="372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81640F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282</w:t>
            </w:r>
          </w:p>
        </w:tc>
        <w:tc>
          <w:tcPr>
            <w:tcW w:w="6946" w:type="dxa"/>
            <w:gridSpan w:val="5"/>
            <w:vAlign w:val="center"/>
          </w:tcPr>
          <w:p w:rsidR="0081640F" w:rsidRPr="0081640F" w:rsidRDefault="0081640F" w:rsidP="001E2885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</w:tr>
    </w:tbl>
    <w:p w:rsidR="005A45B7" w:rsidRDefault="005A45B7" w:rsidP="00F521F4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</w:p>
    <w:p w:rsidR="00801E01" w:rsidRDefault="00F521F4" w:rsidP="00F521F4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As denúncias são recebidas e protocoladas, e após a triagem, conforme o tipo de denúncia, é encaminhado à comissão. Até julho de 2023, o Setor de fiscalização recebeu 135 denúncias, a maioria em decorrência de infrações por falta do profissional bibliotecário. Até o mês de julho de 2023, foram enviados 59 ofícios, pessoas Jurídicas e pessoas Físicas, foram abertos 23 </w:t>
      </w:r>
      <w:r w:rsidRPr="00F521F4">
        <w:rPr>
          <w:rFonts w:ascii="DejaVu Sans Condensed" w:hAnsi="DejaVu Sans Condensed" w:cs="DejaVu Sans Condensed"/>
          <w:color w:val="002060"/>
          <w:sz w:val="32"/>
          <w:szCs w:val="32"/>
        </w:rPr>
        <w:lastRenderedPageBreak/>
        <w:t>processos de infração, foram enviadas 34 notificações e 8 processos de infração foram arquivados.</w:t>
      </w:r>
    </w:p>
    <w:p w:rsidR="00F521F4" w:rsidRPr="00F521F4" w:rsidRDefault="00F521F4" w:rsidP="00F521F4">
      <w:pPr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</w:p>
    <w:sectPr w:rsidR="00F521F4" w:rsidRPr="00F521F4" w:rsidSect="00F6294A">
      <w:headerReference w:type="default" r:id="rId7"/>
      <w:pgSz w:w="11906" w:h="16838"/>
      <w:pgMar w:top="1417" w:right="141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60" w:rsidRDefault="00EE3660" w:rsidP="006A3DE3">
      <w:pPr>
        <w:spacing w:after="0" w:line="240" w:lineRule="auto"/>
      </w:pPr>
      <w:r>
        <w:separator/>
      </w:r>
    </w:p>
  </w:endnote>
  <w:endnote w:type="continuationSeparator" w:id="0">
    <w:p w:rsidR="00EE3660" w:rsidRDefault="00EE3660" w:rsidP="006A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60" w:rsidRDefault="00EE3660" w:rsidP="006A3DE3">
      <w:pPr>
        <w:spacing w:after="0" w:line="240" w:lineRule="auto"/>
      </w:pPr>
      <w:r>
        <w:separator/>
      </w:r>
    </w:p>
  </w:footnote>
  <w:footnote w:type="continuationSeparator" w:id="0">
    <w:p w:rsidR="00EE3660" w:rsidRDefault="00EE3660" w:rsidP="006A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E3" w:rsidRDefault="006A3DE3" w:rsidP="00996562">
    <w:pPr>
      <w:pStyle w:val="Cabealho"/>
      <w:tabs>
        <w:tab w:val="clear" w:pos="8504"/>
        <w:tab w:val="right" w:pos="9720"/>
      </w:tabs>
      <w:jc w:val="center"/>
    </w:pPr>
    <w:r>
      <w:object w:dxaOrig="1515" w:dyaOrig="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75.6pt;height:72.6pt" fillcolor="window">
          <v:imagedata r:id="rId1" o:title=""/>
        </v:shape>
        <o:OLEObject Type="Embed" ProgID="PBrush" ShapeID="_x0000_i1032" DrawAspect="Content" ObjectID="_1781092537" r:id="rId2"/>
      </w:object>
    </w:r>
  </w:p>
  <w:p w:rsidR="006A3DE3" w:rsidRDefault="006A3DE3" w:rsidP="00996562">
    <w:pPr>
      <w:pStyle w:val="Cabealho"/>
      <w:tabs>
        <w:tab w:val="clear" w:pos="8504"/>
        <w:tab w:val="right" w:pos="9720"/>
      </w:tabs>
      <w:jc w:val="center"/>
      <w:rPr>
        <w:b/>
      </w:rPr>
    </w:pPr>
    <w:r>
      <w:rPr>
        <w:b/>
      </w:rPr>
      <w:t>CONSELHO REGIONAL DE BIBLIOTECONOMIA - 10ª REGIÃO</w:t>
    </w:r>
  </w:p>
  <w:p w:rsidR="006A3DE3" w:rsidRDefault="006A3DE3" w:rsidP="00996562">
    <w:pPr>
      <w:pStyle w:val="Cabealho"/>
      <w:tabs>
        <w:tab w:val="clear" w:pos="8504"/>
        <w:tab w:val="right" w:pos="9720"/>
      </w:tabs>
      <w:jc w:val="center"/>
      <w:rPr>
        <w:b/>
      </w:rPr>
    </w:pPr>
    <w:r>
      <w:rPr>
        <w:b/>
      </w:rPr>
      <w:t>ESTADO DO RIO GRANDE DO SUL</w:t>
    </w:r>
  </w:p>
  <w:p w:rsidR="006A3DE3" w:rsidRDefault="006A3D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ACA"/>
    <w:multiLevelType w:val="hybridMultilevel"/>
    <w:tmpl w:val="4A4EFD56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1C1D"/>
    <w:multiLevelType w:val="hybridMultilevel"/>
    <w:tmpl w:val="71426A36"/>
    <w:lvl w:ilvl="0" w:tplc="0BF8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3880"/>
    <w:multiLevelType w:val="hybridMultilevel"/>
    <w:tmpl w:val="4A4EFD56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4"/>
    <w:rsid w:val="00525B5F"/>
    <w:rsid w:val="005A45B7"/>
    <w:rsid w:val="006A3DE3"/>
    <w:rsid w:val="0081640F"/>
    <w:rsid w:val="00A52DDA"/>
    <w:rsid w:val="00AC349D"/>
    <w:rsid w:val="00C46DCE"/>
    <w:rsid w:val="00EB7737"/>
    <w:rsid w:val="00EE3660"/>
    <w:rsid w:val="00F521F4"/>
    <w:rsid w:val="00F6294A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F518E"/>
  <w15:chartTrackingRefBased/>
  <w15:docId w15:val="{E17D4211-C78B-4784-AADD-93B2DA0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F521F4"/>
    <w:rPr>
      <w:b/>
      <w:bCs/>
      <w:smallCaps/>
      <w:color w:val="5B9BD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F521F4"/>
    <w:pPr>
      <w:ind w:left="720"/>
      <w:contextualSpacing/>
    </w:pPr>
  </w:style>
  <w:style w:type="table" w:styleId="Tabelacomgrade">
    <w:name w:val="Table Grid"/>
    <w:basedOn w:val="Tabelanormal"/>
    <w:uiPriority w:val="39"/>
    <w:rsid w:val="00F5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3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DE3"/>
  </w:style>
  <w:style w:type="paragraph" w:styleId="Rodap">
    <w:name w:val="footer"/>
    <w:basedOn w:val="Normal"/>
    <w:link w:val="RodapChar"/>
    <w:uiPriority w:val="99"/>
    <w:unhideWhenUsed/>
    <w:rsid w:val="006A3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DE3"/>
  </w:style>
  <w:style w:type="table" w:customStyle="1" w:styleId="TableNormal">
    <w:name w:val="Table Normal"/>
    <w:uiPriority w:val="2"/>
    <w:semiHidden/>
    <w:unhideWhenUsed/>
    <w:qFormat/>
    <w:rsid w:val="005A4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45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User</cp:lastModifiedBy>
  <cp:revision>2</cp:revision>
  <dcterms:created xsi:type="dcterms:W3CDTF">2024-06-28T18:09:00Z</dcterms:created>
  <dcterms:modified xsi:type="dcterms:W3CDTF">2024-06-28T18:09:00Z</dcterms:modified>
</cp:coreProperties>
</file>